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F4" w:rsidRPr="00FE35F4" w:rsidRDefault="00FE35F4" w:rsidP="00FE35F4">
      <w:pPr>
        <w:jc w:val="center"/>
        <w:rPr>
          <w:rFonts w:ascii="Arial" w:hAnsi="Arial" w:cs="Arial"/>
          <w:b/>
          <w:sz w:val="32"/>
          <w:szCs w:val="32"/>
          <w:u w:val="single"/>
        </w:rPr>
      </w:pPr>
      <w:r w:rsidRPr="00FE35F4">
        <w:rPr>
          <w:rFonts w:ascii="Arial" w:hAnsi="Arial" w:cs="Arial"/>
          <w:b/>
          <w:sz w:val="32"/>
          <w:szCs w:val="32"/>
          <w:u w:val="single"/>
        </w:rPr>
        <w:t>Non-Continuous Cooking of Raw Animal Food</w:t>
      </w:r>
    </w:p>
    <w:p w:rsidR="00FE35F4" w:rsidRDefault="00FE35F4" w:rsidP="00FE35F4"/>
    <w:p w:rsidR="00FE35F4" w:rsidRDefault="00FE35F4" w:rsidP="00FE35F4">
      <w:r w:rsidRPr="00FE35F4">
        <w:rPr>
          <w:u w:val="single"/>
        </w:rPr>
        <w:t>Non-continuous cooking</w:t>
      </w:r>
      <w:r>
        <w:t xml:space="preserve"> means the cooking of food in a food establishment using a process in which the heating of the food is intentionally halted so that it may be cooled and held for complete cooking at a later time prior to sale or service.</w:t>
      </w:r>
    </w:p>
    <w:p w:rsidR="00FE35F4" w:rsidRDefault="00FE35F4" w:rsidP="00FE35F4">
      <w:r w:rsidRPr="00FE35F4">
        <w:rPr>
          <w:u w:val="single"/>
        </w:rPr>
        <w:t>Non-continuous cooking</w:t>
      </w:r>
      <w:r>
        <w:t xml:space="preserve"> does not include cooking procedures that only involve temporarily interrupting or slowing an otherwise continuous cooking process.</w:t>
      </w:r>
      <w:bookmarkStart w:id="0" w:name="_GoBack"/>
      <w:bookmarkEnd w:id="0"/>
    </w:p>
    <w:p w:rsidR="00FE35F4" w:rsidRDefault="00FE35F4" w:rsidP="00FE35F4">
      <w:r>
        <w:t>Raw animal foods that are cooked using a non-continuous cooking process shall be:</w:t>
      </w:r>
    </w:p>
    <w:p w:rsidR="00FE35F4" w:rsidRDefault="00FE35F4" w:rsidP="000153C8">
      <w:pPr>
        <w:pStyle w:val="ListParagraph"/>
        <w:numPr>
          <w:ilvl w:val="0"/>
          <w:numId w:val="1"/>
        </w:numPr>
        <w:spacing w:line="240" w:lineRule="auto"/>
      </w:pPr>
      <w:r>
        <w:t>Subject to an initial heating process that is no longer than sixty minutes in duration;</w:t>
      </w:r>
    </w:p>
    <w:p w:rsidR="000153C8" w:rsidRDefault="000153C8" w:rsidP="000153C8">
      <w:pPr>
        <w:pStyle w:val="ListParagraph"/>
        <w:spacing w:line="240" w:lineRule="auto"/>
        <w:ind w:left="1440"/>
      </w:pPr>
    </w:p>
    <w:p w:rsidR="00FE35F4" w:rsidRDefault="00FE35F4" w:rsidP="000153C8">
      <w:pPr>
        <w:pStyle w:val="ListParagraph"/>
        <w:numPr>
          <w:ilvl w:val="0"/>
          <w:numId w:val="1"/>
        </w:numPr>
        <w:spacing w:line="240" w:lineRule="auto"/>
      </w:pPr>
      <w:r>
        <w:t>Immediately after initial heating, cooled according to the time and temperature parameters</w:t>
      </w:r>
      <w:r w:rsidR="008C6B86">
        <w:t xml:space="preserve"> </w:t>
      </w:r>
      <w:r>
        <w:t>specified for cooked potentially hazardous food (time/temperature control for safety food)</w:t>
      </w:r>
      <w:r w:rsidR="008C6B86">
        <w:t xml:space="preserve"> </w:t>
      </w:r>
      <w:r w:rsidR="000153C8">
        <w:t>under Section 050.300(A)</w:t>
      </w:r>
    </w:p>
    <w:p w:rsidR="000153C8" w:rsidRDefault="000153C8" w:rsidP="000153C8">
      <w:pPr>
        <w:pStyle w:val="ListParagraph"/>
        <w:spacing w:line="240" w:lineRule="auto"/>
        <w:ind w:left="1440"/>
      </w:pPr>
    </w:p>
    <w:p w:rsidR="00FE35F4" w:rsidRDefault="00FE35F4" w:rsidP="000153C8">
      <w:pPr>
        <w:pStyle w:val="ListParagraph"/>
        <w:numPr>
          <w:ilvl w:val="0"/>
          <w:numId w:val="1"/>
        </w:numPr>
        <w:spacing w:line="240" w:lineRule="auto"/>
      </w:pPr>
      <w:r>
        <w:t>After cooling, held frozen or cold as specified f</w:t>
      </w:r>
      <w:r w:rsidR="008C6B86">
        <w:t>or potentially hazardous food (</w:t>
      </w:r>
      <w:r>
        <w:t>time/temperature control for safety food) under Section 050.310 (A)(2);</w:t>
      </w:r>
    </w:p>
    <w:p w:rsidR="000153C8" w:rsidRDefault="000153C8" w:rsidP="000153C8">
      <w:pPr>
        <w:pStyle w:val="ListParagraph"/>
        <w:spacing w:line="240" w:lineRule="auto"/>
        <w:ind w:left="1440"/>
      </w:pPr>
    </w:p>
    <w:p w:rsidR="00FE35F4" w:rsidRDefault="00FE35F4" w:rsidP="000153C8">
      <w:pPr>
        <w:pStyle w:val="ListParagraph"/>
        <w:numPr>
          <w:ilvl w:val="0"/>
          <w:numId w:val="1"/>
        </w:numPr>
        <w:spacing w:line="240" w:lineRule="auto"/>
      </w:pPr>
      <w:r>
        <w:t>Prior to sale or service, cooked using a process that heats all parts of the food to a temperature and for a time as specified</w:t>
      </w:r>
      <w:r w:rsidR="000153C8">
        <w:t xml:space="preserve"> under </w:t>
      </w:r>
      <w:hyperlink w:anchor="RawCookTemps" w:history="1">
        <w:r w:rsidR="000153C8" w:rsidRPr="00E702C7">
          <w:rPr>
            <w:rStyle w:val="Hyperlink"/>
            <w:color w:val="auto"/>
          </w:rPr>
          <w:t>Section 050.245 (A)-(C)</w:t>
        </w:r>
      </w:hyperlink>
    </w:p>
    <w:p w:rsidR="000153C8" w:rsidRDefault="000153C8" w:rsidP="000153C8">
      <w:pPr>
        <w:pStyle w:val="ListParagraph"/>
        <w:spacing w:line="240" w:lineRule="auto"/>
        <w:ind w:left="1440"/>
      </w:pPr>
    </w:p>
    <w:p w:rsidR="000153C8" w:rsidRDefault="00FE35F4" w:rsidP="000153C8">
      <w:pPr>
        <w:pStyle w:val="ListParagraph"/>
        <w:numPr>
          <w:ilvl w:val="0"/>
          <w:numId w:val="1"/>
        </w:numPr>
        <w:spacing w:line="240" w:lineRule="auto"/>
      </w:pPr>
      <w:r>
        <w:t>Cooled according to the time and temperature parameters specified for cooked potentially</w:t>
      </w:r>
      <w:r w:rsidR="008C6B86">
        <w:t xml:space="preserve"> </w:t>
      </w:r>
      <w:r>
        <w:t>hazardous food (time/temperature control for safety food) under Section 050.300 (A) if not</w:t>
      </w:r>
      <w:r w:rsidR="008C6B86">
        <w:t xml:space="preserve"> </w:t>
      </w:r>
      <w:r>
        <w:t>either hot held as specified under Section 050.310 (A), served immediately, or held using time</w:t>
      </w:r>
      <w:r w:rsidR="008C6B86">
        <w:t xml:space="preserve"> </w:t>
      </w:r>
      <w:r>
        <w:t>as a public health control as specified under Section 050.330 after complete cooking; and</w:t>
      </w:r>
    </w:p>
    <w:p w:rsidR="000153C8" w:rsidRDefault="000153C8" w:rsidP="000153C8">
      <w:pPr>
        <w:pStyle w:val="ListParagraph"/>
        <w:spacing w:line="240" w:lineRule="auto"/>
        <w:ind w:left="1440"/>
      </w:pPr>
    </w:p>
    <w:p w:rsidR="000153C8" w:rsidRDefault="00FE35F4" w:rsidP="000153C8">
      <w:pPr>
        <w:pStyle w:val="ListParagraph"/>
        <w:numPr>
          <w:ilvl w:val="0"/>
          <w:numId w:val="1"/>
        </w:numPr>
        <w:spacing w:line="240" w:lineRule="auto"/>
      </w:pPr>
      <w:r>
        <w:t>Prepared and stored according to written procedures that:</w:t>
      </w:r>
    </w:p>
    <w:p w:rsidR="000153C8" w:rsidRDefault="000153C8" w:rsidP="000153C8">
      <w:pPr>
        <w:pStyle w:val="ListParagraph"/>
        <w:spacing w:line="240" w:lineRule="auto"/>
        <w:ind w:left="2520"/>
      </w:pPr>
    </w:p>
    <w:p w:rsidR="008C6B86" w:rsidRDefault="00FE35F4" w:rsidP="000153C8">
      <w:pPr>
        <w:pStyle w:val="ListParagraph"/>
        <w:numPr>
          <w:ilvl w:val="0"/>
          <w:numId w:val="4"/>
        </w:numPr>
        <w:spacing w:line="240" w:lineRule="auto"/>
      </w:pPr>
      <w:r>
        <w:t>Have obtained prior approval from the Health Authority;</w:t>
      </w:r>
    </w:p>
    <w:p w:rsidR="000153C8" w:rsidRDefault="000153C8" w:rsidP="000153C8">
      <w:pPr>
        <w:pStyle w:val="ListParagraph"/>
        <w:spacing w:line="240" w:lineRule="auto"/>
        <w:ind w:left="2520"/>
      </w:pPr>
    </w:p>
    <w:p w:rsidR="000153C8" w:rsidRDefault="00FE35F4" w:rsidP="000153C8">
      <w:pPr>
        <w:pStyle w:val="ListParagraph"/>
        <w:numPr>
          <w:ilvl w:val="0"/>
          <w:numId w:val="4"/>
        </w:numPr>
        <w:spacing w:line="240" w:lineRule="auto"/>
      </w:pPr>
      <w:r>
        <w:t>Are maintained in the food establishment and are availab</w:t>
      </w:r>
      <w:r w:rsidR="008C6B86">
        <w:t xml:space="preserve">le to the Health Authority upon </w:t>
      </w:r>
      <w:r>
        <w:t>request;</w:t>
      </w:r>
    </w:p>
    <w:p w:rsidR="000153C8" w:rsidRDefault="000153C8" w:rsidP="000153C8">
      <w:pPr>
        <w:pStyle w:val="ListParagraph"/>
      </w:pPr>
    </w:p>
    <w:p w:rsidR="008C6B86" w:rsidRDefault="00FE35F4" w:rsidP="000153C8">
      <w:pPr>
        <w:pStyle w:val="ListParagraph"/>
        <w:numPr>
          <w:ilvl w:val="0"/>
          <w:numId w:val="4"/>
        </w:numPr>
        <w:spacing w:line="240" w:lineRule="auto"/>
      </w:pPr>
      <w:r>
        <w:t xml:space="preserve">Describe how the requirements specified in Subsections </w:t>
      </w:r>
      <w:r w:rsidR="008C6B86">
        <w:t xml:space="preserve">A - E of this Section are to be </w:t>
      </w:r>
      <w:r>
        <w:t>monitored and document</w:t>
      </w:r>
      <w:r w:rsidR="000153C8">
        <w:t xml:space="preserve">ed by the permit holder and the </w:t>
      </w:r>
      <w:r>
        <w:t>correc</w:t>
      </w:r>
      <w:r w:rsidR="008C6B86">
        <w:t xml:space="preserve">tive actions to be taken if the </w:t>
      </w:r>
      <w:r>
        <w:t>requirements are not met;</w:t>
      </w:r>
    </w:p>
    <w:p w:rsidR="000153C8" w:rsidRDefault="000153C8" w:rsidP="000153C8">
      <w:pPr>
        <w:pStyle w:val="ListParagraph"/>
        <w:spacing w:line="240" w:lineRule="auto"/>
        <w:ind w:left="2520"/>
      </w:pPr>
    </w:p>
    <w:p w:rsidR="000153C8" w:rsidRDefault="00FE35F4" w:rsidP="000153C8">
      <w:pPr>
        <w:pStyle w:val="ListParagraph"/>
        <w:numPr>
          <w:ilvl w:val="0"/>
          <w:numId w:val="4"/>
        </w:numPr>
        <w:spacing w:line="240" w:lineRule="auto"/>
      </w:pPr>
      <w:r>
        <w:t>Describe how the foods, after initial heating, but prior</w:t>
      </w:r>
      <w:r w:rsidR="008C6B86">
        <w:t xml:space="preserve"> to complete cooking, are to be </w:t>
      </w:r>
      <w:r>
        <w:t xml:space="preserve">marked or otherwise identified as foods that must be cooked </w:t>
      </w:r>
      <w:r w:rsidR="008C6B86">
        <w:t xml:space="preserve">as specified in Subsection D of </w:t>
      </w:r>
      <w:r>
        <w:t>this Section prior to being offered for sale or service; and</w:t>
      </w:r>
    </w:p>
    <w:p w:rsidR="000153C8" w:rsidRDefault="000153C8" w:rsidP="000153C8">
      <w:pPr>
        <w:pStyle w:val="ListParagraph"/>
      </w:pPr>
    </w:p>
    <w:p w:rsidR="00B32B53" w:rsidRDefault="00FE35F4" w:rsidP="000153C8">
      <w:pPr>
        <w:pStyle w:val="ListParagraph"/>
        <w:numPr>
          <w:ilvl w:val="0"/>
          <w:numId w:val="4"/>
        </w:numPr>
        <w:spacing w:line="240" w:lineRule="auto"/>
      </w:pPr>
      <w:r>
        <w:lastRenderedPageBreak/>
        <w:t>Describe how the foods, after initial heating but prior to cooking as specified under</w:t>
      </w:r>
      <w:r w:rsidR="008C6B86">
        <w:t xml:space="preserve"> </w:t>
      </w:r>
      <w:r>
        <w:t>Subsection D of this Section, are to be separated from ready-to</w:t>
      </w:r>
      <w:r w:rsidR="008C6B86">
        <w:t xml:space="preserve">-eat foods as specified under </w:t>
      </w:r>
      <w:r>
        <w:t>Section 050.130 (A).</w:t>
      </w:r>
    </w:p>
    <w:p w:rsidR="00311347" w:rsidRDefault="00311347" w:rsidP="00311347">
      <w:pPr>
        <w:pStyle w:val="ListParagraph"/>
      </w:pPr>
    </w:p>
    <w:p w:rsidR="00E702C7" w:rsidRPr="00E702C7" w:rsidRDefault="00E702C7" w:rsidP="00E702C7">
      <w:pPr>
        <w:spacing w:line="240" w:lineRule="auto"/>
        <w:rPr>
          <w:b/>
        </w:rPr>
      </w:pPr>
      <w:bookmarkStart w:id="1" w:name="RawCookTemps"/>
      <w:r>
        <w:rPr>
          <w:b/>
        </w:rPr>
        <w:t xml:space="preserve">050.245 </w:t>
      </w:r>
      <w:r w:rsidR="00311347" w:rsidRPr="00E702C7">
        <w:rPr>
          <w:b/>
        </w:rPr>
        <w:t>Raw animal foods</w:t>
      </w:r>
    </w:p>
    <w:bookmarkEnd w:id="1"/>
    <w:p w:rsidR="00E702C7" w:rsidRDefault="00311347" w:rsidP="00E702C7">
      <w:pPr>
        <w:pStyle w:val="ListParagraph"/>
        <w:numPr>
          <w:ilvl w:val="0"/>
          <w:numId w:val="6"/>
        </w:numPr>
        <w:spacing w:line="240" w:lineRule="auto"/>
      </w:pPr>
      <w:r>
        <w:t>Except as specified under Subsections B, C and D of this</w:t>
      </w:r>
      <w:r w:rsidR="001916E4">
        <w:t xml:space="preserve"> section, raw animal foods such </w:t>
      </w:r>
      <w:r>
        <w:t>as eggs, fish, meat, poultry and foods containing these raw animal foods, must be cooked to heat all parts of the food to a temperature and for a time that complies with one (1) of the following methods based on</w:t>
      </w:r>
      <w:r w:rsidR="001916E4">
        <w:t xml:space="preserve"> the food that is being cooked:</w:t>
      </w:r>
    </w:p>
    <w:p w:rsidR="00E702C7" w:rsidRDefault="00E702C7" w:rsidP="00E702C7">
      <w:pPr>
        <w:pStyle w:val="ListParagraph"/>
        <w:spacing w:line="240" w:lineRule="auto"/>
        <w:ind w:left="2215"/>
      </w:pPr>
    </w:p>
    <w:p w:rsidR="00E702C7" w:rsidRDefault="00E702C7" w:rsidP="00E702C7">
      <w:pPr>
        <w:pStyle w:val="ListParagraph"/>
        <w:numPr>
          <w:ilvl w:val="0"/>
          <w:numId w:val="8"/>
        </w:numPr>
        <w:spacing w:line="240" w:lineRule="auto"/>
      </w:pPr>
      <w:r>
        <w:t>145°F (63°C) or above for 15 seconds for:</w:t>
      </w:r>
    </w:p>
    <w:p w:rsidR="00E702C7" w:rsidRDefault="00E702C7" w:rsidP="00E702C7">
      <w:pPr>
        <w:pStyle w:val="ListParagraph"/>
        <w:spacing w:line="240" w:lineRule="auto"/>
        <w:ind w:left="2575"/>
      </w:pPr>
    </w:p>
    <w:p w:rsidR="00E702C7" w:rsidRDefault="00E702C7" w:rsidP="00E702C7">
      <w:pPr>
        <w:pStyle w:val="ListParagraph"/>
        <w:numPr>
          <w:ilvl w:val="0"/>
          <w:numId w:val="9"/>
        </w:numPr>
        <w:spacing w:line="240" w:lineRule="auto"/>
      </w:pPr>
      <w:r>
        <w:t>Raw eggs that are broken and prepared in response to a consumer’s order and for immediate service, and</w:t>
      </w:r>
    </w:p>
    <w:p w:rsidR="00E702C7" w:rsidRDefault="00E702C7" w:rsidP="00E702C7">
      <w:pPr>
        <w:pStyle w:val="ListParagraph"/>
        <w:spacing w:line="240" w:lineRule="auto"/>
        <w:ind w:left="2935"/>
      </w:pPr>
    </w:p>
    <w:p w:rsidR="00E702C7" w:rsidRDefault="00E702C7" w:rsidP="00E702C7">
      <w:pPr>
        <w:pStyle w:val="ListParagraph"/>
        <w:numPr>
          <w:ilvl w:val="0"/>
          <w:numId w:val="9"/>
        </w:numPr>
        <w:spacing w:line="240" w:lineRule="auto"/>
      </w:pPr>
      <w:r>
        <w:t xml:space="preserve">Except as specified under Subsections </w:t>
      </w:r>
      <w:proofErr w:type="gramStart"/>
      <w:r>
        <w:t>A(</w:t>
      </w:r>
      <w:proofErr w:type="gramEnd"/>
      <w:r>
        <w:t>2) and A(3) and B, and in Subsection C of this section, fish and meat including game animals commercially raised for food as specified in these regulations and game animals under a voluntary inspection program.</w:t>
      </w:r>
    </w:p>
    <w:p w:rsidR="00E702C7" w:rsidRDefault="00E702C7" w:rsidP="00E702C7">
      <w:pPr>
        <w:pStyle w:val="ListParagraph"/>
        <w:spacing w:line="240" w:lineRule="auto"/>
        <w:ind w:left="2215"/>
      </w:pPr>
    </w:p>
    <w:p w:rsidR="00311347" w:rsidRDefault="00E702C7" w:rsidP="003761B5">
      <w:pPr>
        <w:pStyle w:val="ListParagraph"/>
        <w:numPr>
          <w:ilvl w:val="0"/>
          <w:numId w:val="8"/>
        </w:numPr>
        <w:spacing w:line="240" w:lineRule="auto"/>
      </w:pPr>
      <w:r>
        <w:t>155°F (68°</w:t>
      </w:r>
      <w:r w:rsidR="00311347">
        <w:t>C) for 15 seconds or the temperature specified in the following chart that</w:t>
      </w:r>
      <w:r w:rsidR="001916E4">
        <w:t xml:space="preserve"> </w:t>
      </w:r>
      <w:r w:rsidR="00311347">
        <w:t>corresponds to the holding time for ratites, mechanically tend</w:t>
      </w:r>
      <w:r w:rsidR="001916E4">
        <w:t xml:space="preserve">erized, and injected meats; the </w:t>
      </w:r>
      <w:r w:rsidR="00311347">
        <w:t xml:space="preserve">following if they are comminuted: fish, meat, game animals </w:t>
      </w:r>
      <w:r w:rsidR="001916E4">
        <w:t xml:space="preserve">commercially raised for food as </w:t>
      </w:r>
      <w:r w:rsidR="00311347">
        <w:t xml:space="preserve">specified under these regulations, and game animals under a voluntary </w:t>
      </w:r>
      <w:r w:rsidR="001916E4">
        <w:t xml:space="preserve">inspection program </w:t>
      </w:r>
      <w:r w:rsidR="00311347">
        <w:t>as specified under these regulations; and</w:t>
      </w:r>
    </w:p>
    <w:p w:rsidR="00777E8F" w:rsidRDefault="00777E8F" w:rsidP="00777E8F">
      <w:pPr>
        <w:pStyle w:val="ListParagraph"/>
        <w:spacing w:line="240" w:lineRule="auto"/>
        <w:ind w:left="2215"/>
      </w:pPr>
    </w:p>
    <w:tbl>
      <w:tblPr>
        <w:tblStyle w:val="TableGrid"/>
        <w:tblW w:w="0" w:type="auto"/>
        <w:tblInd w:w="2215" w:type="dxa"/>
        <w:tblLook w:val="04A0" w:firstRow="1" w:lastRow="0" w:firstColumn="1" w:lastColumn="0" w:noHBand="0" w:noVBand="1"/>
      </w:tblPr>
      <w:tblGrid>
        <w:gridCol w:w="3647"/>
        <w:gridCol w:w="3714"/>
      </w:tblGrid>
      <w:tr w:rsidR="00E702C7" w:rsidTr="00E702C7">
        <w:tc>
          <w:tcPr>
            <w:tcW w:w="4788" w:type="dxa"/>
            <w:vAlign w:val="center"/>
          </w:tcPr>
          <w:p w:rsidR="00E702C7" w:rsidRPr="00777E8F" w:rsidRDefault="00E702C7" w:rsidP="00E702C7">
            <w:pPr>
              <w:pStyle w:val="ListParagraph"/>
              <w:ind w:left="0"/>
              <w:jc w:val="center"/>
              <w:rPr>
                <w:sz w:val="20"/>
                <w:szCs w:val="20"/>
              </w:rPr>
            </w:pPr>
            <w:r w:rsidRPr="00777E8F">
              <w:rPr>
                <w:sz w:val="20"/>
                <w:szCs w:val="20"/>
              </w:rPr>
              <w:t>Minimum Temperature °F (°C)</w:t>
            </w:r>
          </w:p>
        </w:tc>
        <w:tc>
          <w:tcPr>
            <w:tcW w:w="4788" w:type="dxa"/>
            <w:vAlign w:val="center"/>
          </w:tcPr>
          <w:p w:rsidR="00E702C7" w:rsidRPr="00777E8F" w:rsidRDefault="00777E8F" w:rsidP="00E702C7">
            <w:pPr>
              <w:pStyle w:val="ListParagraph"/>
              <w:ind w:left="0"/>
              <w:jc w:val="center"/>
              <w:rPr>
                <w:sz w:val="20"/>
                <w:szCs w:val="20"/>
              </w:rPr>
            </w:pPr>
            <w:r>
              <w:rPr>
                <w:sz w:val="20"/>
                <w:szCs w:val="20"/>
              </w:rPr>
              <w:t>Minimum Time</w:t>
            </w:r>
          </w:p>
        </w:tc>
      </w:tr>
      <w:tr w:rsidR="00E702C7" w:rsidTr="00E702C7">
        <w:tc>
          <w:tcPr>
            <w:tcW w:w="4788" w:type="dxa"/>
            <w:vAlign w:val="center"/>
          </w:tcPr>
          <w:p w:rsidR="00E702C7" w:rsidRPr="00777E8F" w:rsidRDefault="00777E8F" w:rsidP="00E702C7">
            <w:pPr>
              <w:pStyle w:val="ListParagraph"/>
              <w:ind w:left="0"/>
              <w:jc w:val="center"/>
              <w:rPr>
                <w:sz w:val="20"/>
                <w:szCs w:val="20"/>
              </w:rPr>
            </w:pPr>
            <w:r>
              <w:rPr>
                <w:sz w:val="20"/>
                <w:szCs w:val="20"/>
              </w:rPr>
              <w:t>145 (63)</w:t>
            </w:r>
          </w:p>
        </w:tc>
        <w:tc>
          <w:tcPr>
            <w:tcW w:w="4788" w:type="dxa"/>
            <w:vAlign w:val="center"/>
          </w:tcPr>
          <w:p w:rsidR="00E702C7" w:rsidRPr="00777E8F" w:rsidRDefault="00777E8F" w:rsidP="00E702C7">
            <w:pPr>
              <w:pStyle w:val="ListParagraph"/>
              <w:ind w:left="0"/>
              <w:jc w:val="center"/>
              <w:rPr>
                <w:sz w:val="20"/>
                <w:szCs w:val="20"/>
              </w:rPr>
            </w:pPr>
            <w:r>
              <w:rPr>
                <w:sz w:val="20"/>
                <w:szCs w:val="20"/>
              </w:rPr>
              <w:t>3 minutes</w:t>
            </w:r>
          </w:p>
        </w:tc>
      </w:tr>
      <w:tr w:rsidR="00E702C7" w:rsidTr="00E702C7">
        <w:tc>
          <w:tcPr>
            <w:tcW w:w="4788" w:type="dxa"/>
            <w:vAlign w:val="center"/>
          </w:tcPr>
          <w:p w:rsidR="00E702C7" w:rsidRPr="00777E8F" w:rsidRDefault="00777E8F" w:rsidP="00E702C7">
            <w:pPr>
              <w:pStyle w:val="ListParagraph"/>
              <w:ind w:left="0"/>
              <w:jc w:val="center"/>
              <w:rPr>
                <w:sz w:val="20"/>
                <w:szCs w:val="20"/>
              </w:rPr>
            </w:pPr>
            <w:r>
              <w:rPr>
                <w:sz w:val="20"/>
                <w:szCs w:val="20"/>
              </w:rPr>
              <w:t>150 (66)</w:t>
            </w:r>
          </w:p>
        </w:tc>
        <w:tc>
          <w:tcPr>
            <w:tcW w:w="4788" w:type="dxa"/>
            <w:vAlign w:val="center"/>
          </w:tcPr>
          <w:p w:rsidR="00E702C7" w:rsidRPr="00777E8F" w:rsidRDefault="00777E8F" w:rsidP="00E702C7">
            <w:pPr>
              <w:pStyle w:val="ListParagraph"/>
              <w:ind w:left="0"/>
              <w:jc w:val="center"/>
              <w:rPr>
                <w:sz w:val="20"/>
                <w:szCs w:val="20"/>
              </w:rPr>
            </w:pPr>
            <w:r>
              <w:rPr>
                <w:sz w:val="20"/>
                <w:szCs w:val="20"/>
              </w:rPr>
              <w:t>1 minutes</w:t>
            </w:r>
          </w:p>
        </w:tc>
      </w:tr>
      <w:tr w:rsidR="00E702C7" w:rsidTr="00E702C7">
        <w:tc>
          <w:tcPr>
            <w:tcW w:w="4788" w:type="dxa"/>
            <w:vAlign w:val="center"/>
          </w:tcPr>
          <w:p w:rsidR="00E702C7" w:rsidRPr="00777E8F" w:rsidRDefault="00777E8F" w:rsidP="00E702C7">
            <w:pPr>
              <w:pStyle w:val="ListParagraph"/>
              <w:ind w:left="0"/>
              <w:jc w:val="center"/>
              <w:rPr>
                <w:sz w:val="20"/>
                <w:szCs w:val="20"/>
              </w:rPr>
            </w:pPr>
            <w:r>
              <w:rPr>
                <w:sz w:val="20"/>
                <w:szCs w:val="20"/>
              </w:rPr>
              <w:t>158 (70)</w:t>
            </w:r>
          </w:p>
        </w:tc>
        <w:tc>
          <w:tcPr>
            <w:tcW w:w="4788" w:type="dxa"/>
            <w:vAlign w:val="center"/>
          </w:tcPr>
          <w:p w:rsidR="00E702C7" w:rsidRPr="00777E8F" w:rsidRDefault="00777E8F" w:rsidP="00E702C7">
            <w:pPr>
              <w:pStyle w:val="ListParagraph"/>
              <w:ind w:left="0"/>
              <w:jc w:val="center"/>
              <w:rPr>
                <w:sz w:val="20"/>
                <w:szCs w:val="20"/>
              </w:rPr>
            </w:pPr>
            <w:r>
              <w:rPr>
                <w:sz w:val="20"/>
                <w:szCs w:val="20"/>
              </w:rPr>
              <w:t>&lt; 1 second (instantaneous)</w:t>
            </w:r>
          </w:p>
        </w:tc>
      </w:tr>
    </w:tbl>
    <w:p w:rsidR="00E702C7" w:rsidRDefault="00FC5E06" w:rsidP="00FC5E06">
      <w:pPr>
        <w:spacing w:line="240" w:lineRule="auto"/>
        <w:ind w:left="2160"/>
        <w:jc w:val="center"/>
      </w:pPr>
      <w:r>
        <w:t xml:space="preserve">; </w:t>
      </w:r>
      <w:proofErr w:type="gramStart"/>
      <w:r>
        <w:t>or</w:t>
      </w:r>
      <w:proofErr w:type="gramEnd"/>
    </w:p>
    <w:p w:rsidR="003761B5" w:rsidRDefault="003761B5" w:rsidP="003761B5">
      <w:pPr>
        <w:pStyle w:val="ListParagraph"/>
        <w:numPr>
          <w:ilvl w:val="0"/>
          <w:numId w:val="8"/>
        </w:numPr>
        <w:spacing w:line="240" w:lineRule="auto"/>
      </w:pPr>
      <w:r>
        <w:t>165°F (74°C) or above for 15 seconds for poultry, baluts, wild games as specified under these regulations, stuffed fish, stuffed meat, stuffed pastas, stuffed poultry, ratites, or stuffing containing fish, meat, poultry, or ratites.</w:t>
      </w:r>
    </w:p>
    <w:p w:rsidR="003761B5" w:rsidRDefault="003761B5" w:rsidP="003761B5">
      <w:pPr>
        <w:pStyle w:val="ListParagraph"/>
        <w:spacing w:line="240" w:lineRule="auto"/>
        <w:ind w:left="2575"/>
      </w:pPr>
    </w:p>
    <w:p w:rsidR="003761B5" w:rsidRDefault="003761B5" w:rsidP="003761B5">
      <w:pPr>
        <w:pStyle w:val="ListParagraph"/>
        <w:numPr>
          <w:ilvl w:val="0"/>
          <w:numId w:val="6"/>
        </w:numPr>
        <w:spacing w:line="240" w:lineRule="auto"/>
      </w:pPr>
      <w:r>
        <w:t>Whole meat roasts including beef, corned beef, lamb, pork, and cured pork roasts such as ham must be cooked:</w:t>
      </w:r>
    </w:p>
    <w:p w:rsidR="00FC5E06" w:rsidRDefault="00FC5E06" w:rsidP="00FC5E06">
      <w:pPr>
        <w:pStyle w:val="ListParagraph"/>
        <w:spacing w:line="240" w:lineRule="auto"/>
        <w:ind w:left="2575"/>
      </w:pPr>
    </w:p>
    <w:p w:rsidR="00FC5E06" w:rsidRDefault="00FC5E06" w:rsidP="00FC5E06">
      <w:pPr>
        <w:pStyle w:val="ListParagraph"/>
        <w:numPr>
          <w:ilvl w:val="0"/>
          <w:numId w:val="10"/>
        </w:numPr>
        <w:spacing w:line="240" w:lineRule="auto"/>
      </w:pPr>
      <w:r>
        <w:t>In an oven that is preheated to the temperature specified for the roast’s weight in the following chart and that is held at that temperature:</w:t>
      </w:r>
    </w:p>
    <w:p w:rsidR="00C603CD" w:rsidRDefault="00C603CD" w:rsidP="00C603CD">
      <w:pPr>
        <w:pStyle w:val="ListParagraph"/>
        <w:spacing w:line="240" w:lineRule="auto"/>
        <w:ind w:left="2575"/>
      </w:pPr>
    </w:p>
    <w:p w:rsidR="00C603CD" w:rsidRDefault="00C603CD" w:rsidP="00C603CD">
      <w:pPr>
        <w:pStyle w:val="ListParagraph"/>
        <w:spacing w:line="240" w:lineRule="auto"/>
        <w:ind w:left="2575"/>
      </w:pPr>
    </w:p>
    <w:p w:rsidR="00C603CD" w:rsidRDefault="00C603CD" w:rsidP="00C603CD">
      <w:pPr>
        <w:pStyle w:val="ListParagraph"/>
        <w:spacing w:line="240" w:lineRule="auto"/>
        <w:ind w:left="2575"/>
      </w:pPr>
    </w:p>
    <w:tbl>
      <w:tblPr>
        <w:tblW w:w="7287" w:type="dxa"/>
        <w:tblInd w:w="2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2815"/>
        <w:gridCol w:w="2759"/>
      </w:tblGrid>
      <w:tr w:rsidR="00C176D1" w:rsidTr="00C603CD">
        <w:trPr>
          <w:trHeight w:val="240"/>
        </w:trPr>
        <w:tc>
          <w:tcPr>
            <w:tcW w:w="1713" w:type="dxa"/>
            <w:vMerge w:val="restart"/>
            <w:vAlign w:val="center"/>
          </w:tcPr>
          <w:p w:rsidR="00C176D1" w:rsidRPr="007E6B3F" w:rsidRDefault="00C603CD" w:rsidP="00C603CD">
            <w:pPr>
              <w:pStyle w:val="ListParagraph"/>
              <w:spacing w:line="240" w:lineRule="auto"/>
              <w:ind w:left="0"/>
              <w:jc w:val="center"/>
              <w:rPr>
                <w:sz w:val="20"/>
                <w:szCs w:val="20"/>
              </w:rPr>
            </w:pPr>
            <w:r w:rsidRPr="007E6B3F">
              <w:rPr>
                <w:sz w:val="20"/>
                <w:szCs w:val="20"/>
              </w:rPr>
              <w:lastRenderedPageBreak/>
              <w:t>Oven Type</w:t>
            </w:r>
          </w:p>
        </w:tc>
        <w:tc>
          <w:tcPr>
            <w:tcW w:w="5574" w:type="dxa"/>
            <w:gridSpan w:val="2"/>
            <w:vAlign w:val="center"/>
          </w:tcPr>
          <w:p w:rsidR="00C176D1" w:rsidRPr="007E6B3F" w:rsidRDefault="00C603CD" w:rsidP="00C603CD">
            <w:pPr>
              <w:pStyle w:val="ListParagraph"/>
              <w:spacing w:line="240" w:lineRule="auto"/>
              <w:ind w:left="0"/>
              <w:jc w:val="center"/>
              <w:rPr>
                <w:sz w:val="20"/>
                <w:szCs w:val="20"/>
              </w:rPr>
            </w:pPr>
            <w:r w:rsidRPr="007E6B3F">
              <w:rPr>
                <w:sz w:val="20"/>
                <w:szCs w:val="20"/>
              </w:rPr>
              <w:t>Oven Temperature Based on Roast Weight</w:t>
            </w:r>
          </w:p>
        </w:tc>
      </w:tr>
      <w:tr w:rsidR="00C176D1" w:rsidTr="00C603CD">
        <w:trPr>
          <w:trHeight w:val="207"/>
        </w:trPr>
        <w:tc>
          <w:tcPr>
            <w:tcW w:w="1713" w:type="dxa"/>
            <w:vMerge/>
            <w:vAlign w:val="center"/>
          </w:tcPr>
          <w:p w:rsidR="00C176D1" w:rsidRPr="007E6B3F" w:rsidRDefault="00C176D1" w:rsidP="00C603CD">
            <w:pPr>
              <w:pStyle w:val="ListParagraph"/>
              <w:spacing w:line="240" w:lineRule="auto"/>
              <w:ind w:left="0"/>
              <w:jc w:val="center"/>
              <w:rPr>
                <w:sz w:val="20"/>
                <w:szCs w:val="20"/>
              </w:rPr>
            </w:pPr>
          </w:p>
        </w:tc>
        <w:tc>
          <w:tcPr>
            <w:tcW w:w="2815" w:type="dxa"/>
          </w:tcPr>
          <w:p w:rsidR="00C176D1" w:rsidRPr="007E6B3F" w:rsidRDefault="00C603CD" w:rsidP="00C603CD">
            <w:pPr>
              <w:pStyle w:val="ListParagraph"/>
              <w:spacing w:line="240" w:lineRule="auto"/>
              <w:ind w:left="0"/>
              <w:jc w:val="center"/>
              <w:rPr>
                <w:sz w:val="20"/>
                <w:szCs w:val="20"/>
              </w:rPr>
            </w:pPr>
            <w:r w:rsidRPr="007E6B3F">
              <w:rPr>
                <w:sz w:val="20"/>
                <w:szCs w:val="20"/>
              </w:rPr>
              <w:t xml:space="preserve">Less than 10 </w:t>
            </w:r>
            <w:proofErr w:type="spellStart"/>
            <w:r w:rsidRPr="007E6B3F">
              <w:rPr>
                <w:sz w:val="20"/>
                <w:szCs w:val="20"/>
              </w:rPr>
              <w:t>lbs</w:t>
            </w:r>
            <w:proofErr w:type="spellEnd"/>
            <w:r w:rsidRPr="007E6B3F">
              <w:rPr>
                <w:sz w:val="20"/>
                <w:szCs w:val="20"/>
              </w:rPr>
              <w:t xml:space="preserve"> (4.5 kg)</w:t>
            </w:r>
          </w:p>
        </w:tc>
        <w:tc>
          <w:tcPr>
            <w:tcW w:w="2759" w:type="dxa"/>
          </w:tcPr>
          <w:p w:rsidR="00C176D1" w:rsidRPr="007E6B3F" w:rsidRDefault="00C603CD" w:rsidP="00C603CD">
            <w:pPr>
              <w:pStyle w:val="ListParagraph"/>
              <w:spacing w:line="240" w:lineRule="auto"/>
              <w:ind w:left="0"/>
              <w:jc w:val="center"/>
              <w:rPr>
                <w:sz w:val="20"/>
                <w:szCs w:val="20"/>
              </w:rPr>
            </w:pPr>
            <w:r w:rsidRPr="007E6B3F">
              <w:rPr>
                <w:sz w:val="20"/>
                <w:szCs w:val="20"/>
              </w:rPr>
              <w:t xml:space="preserve">10 </w:t>
            </w:r>
            <w:proofErr w:type="spellStart"/>
            <w:r w:rsidRPr="007E6B3F">
              <w:rPr>
                <w:sz w:val="20"/>
                <w:szCs w:val="20"/>
              </w:rPr>
              <w:t>lbs</w:t>
            </w:r>
            <w:proofErr w:type="spellEnd"/>
            <w:r w:rsidRPr="007E6B3F">
              <w:rPr>
                <w:sz w:val="20"/>
                <w:szCs w:val="20"/>
              </w:rPr>
              <w:t xml:space="preserve"> (4.5 kg) or more</w:t>
            </w:r>
          </w:p>
        </w:tc>
      </w:tr>
      <w:tr w:rsidR="00C176D1" w:rsidTr="001A3D9D">
        <w:trPr>
          <w:trHeight w:val="273"/>
        </w:trPr>
        <w:tc>
          <w:tcPr>
            <w:tcW w:w="1713" w:type="dxa"/>
            <w:vAlign w:val="center"/>
          </w:tcPr>
          <w:p w:rsidR="00C176D1" w:rsidRPr="007E6B3F" w:rsidRDefault="00C603CD" w:rsidP="00C603CD">
            <w:pPr>
              <w:pStyle w:val="ListParagraph"/>
              <w:spacing w:line="240" w:lineRule="auto"/>
              <w:ind w:left="0"/>
              <w:jc w:val="center"/>
              <w:rPr>
                <w:sz w:val="20"/>
                <w:szCs w:val="20"/>
              </w:rPr>
            </w:pPr>
            <w:r w:rsidRPr="007E6B3F">
              <w:rPr>
                <w:sz w:val="20"/>
                <w:szCs w:val="20"/>
              </w:rPr>
              <w:t>Still Dry</w:t>
            </w:r>
          </w:p>
        </w:tc>
        <w:tc>
          <w:tcPr>
            <w:tcW w:w="2815" w:type="dxa"/>
          </w:tcPr>
          <w:p w:rsidR="00C176D1" w:rsidRPr="007E6B3F" w:rsidRDefault="00C603CD" w:rsidP="001A3D9D">
            <w:pPr>
              <w:pStyle w:val="ListParagraph"/>
              <w:spacing w:line="240" w:lineRule="auto"/>
              <w:ind w:left="0"/>
              <w:jc w:val="center"/>
              <w:rPr>
                <w:sz w:val="20"/>
                <w:szCs w:val="20"/>
              </w:rPr>
            </w:pPr>
            <w:r w:rsidRPr="007E6B3F">
              <w:rPr>
                <w:sz w:val="20"/>
                <w:szCs w:val="20"/>
              </w:rPr>
              <w:t>350°F (177°C) or more</w:t>
            </w:r>
          </w:p>
        </w:tc>
        <w:tc>
          <w:tcPr>
            <w:tcW w:w="2759" w:type="dxa"/>
          </w:tcPr>
          <w:p w:rsidR="00C176D1" w:rsidRPr="007E6B3F" w:rsidRDefault="001A3D9D" w:rsidP="001A3D9D">
            <w:pPr>
              <w:pStyle w:val="ListParagraph"/>
              <w:spacing w:line="240" w:lineRule="auto"/>
              <w:ind w:left="0"/>
              <w:jc w:val="center"/>
              <w:rPr>
                <w:sz w:val="20"/>
                <w:szCs w:val="20"/>
              </w:rPr>
            </w:pPr>
            <w:r w:rsidRPr="007E6B3F">
              <w:rPr>
                <w:sz w:val="20"/>
                <w:szCs w:val="20"/>
              </w:rPr>
              <w:t>250°F (121°C) or more</w:t>
            </w:r>
          </w:p>
        </w:tc>
      </w:tr>
      <w:tr w:rsidR="00C176D1" w:rsidTr="001A3D9D">
        <w:trPr>
          <w:trHeight w:val="393"/>
        </w:trPr>
        <w:tc>
          <w:tcPr>
            <w:tcW w:w="1713" w:type="dxa"/>
            <w:vAlign w:val="center"/>
          </w:tcPr>
          <w:p w:rsidR="00C176D1" w:rsidRPr="007E6B3F" w:rsidRDefault="00C603CD" w:rsidP="00C603CD">
            <w:pPr>
              <w:pStyle w:val="ListParagraph"/>
              <w:spacing w:line="240" w:lineRule="auto"/>
              <w:ind w:left="0"/>
              <w:jc w:val="center"/>
              <w:rPr>
                <w:sz w:val="20"/>
                <w:szCs w:val="20"/>
              </w:rPr>
            </w:pPr>
            <w:r w:rsidRPr="007E6B3F">
              <w:rPr>
                <w:sz w:val="20"/>
                <w:szCs w:val="20"/>
              </w:rPr>
              <w:t>Convection</w:t>
            </w:r>
          </w:p>
        </w:tc>
        <w:tc>
          <w:tcPr>
            <w:tcW w:w="2815" w:type="dxa"/>
          </w:tcPr>
          <w:p w:rsidR="00C176D1" w:rsidRPr="007E6B3F" w:rsidRDefault="00C603CD" w:rsidP="001A3D9D">
            <w:pPr>
              <w:pStyle w:val="ListParagraph"/>
              <w:spacing w:line="240" w:lineRule="auto"/>
              <w:ind w:left="0"/>
              <w:jc w:val="center"/>
              <w:rPr>
                <w:sz w:val="20"/>
                <w:szCs w:val="20"/>
              </w:rPr>
            </w:pPr>
            <w:r w:rsidRPr="007E6B3F">
              <w:rPr>
                <w:sz w:val="20"/>
                <w:szCs w:val="20"/>
              </w:rPr>
              <w:t>325°F (163°C) or more</w:t>
            </w:r>
          </w:p>
        </w:tc>
        <w:tc>
          <w:tcPr>
            <w:tcW w:w="2759" w:type="dxa"/>
          </w:tcPr>
          <w:p w:rsidR="00C176D1" w:rsidRPr="007E6B3F" w:rsidRDefault="001A3D9D" w:rsidP="001A3D9D">
            <w:pPr>
              <w:pStyle w:val="ListParagraph"/>
              <w:spacing w:line="240" w:lineRule="auto"/>
              <w:ind w:left="0"/>
              <w:jc w:val="center"/>
              <w:rPr>
                <w:rFonts w:cs="Mangal"/>
                <w:sz w:val="20"/>
                <w:szCs w:val="20"/>
              </w:rPr>
            </w:pPr>
            <w:r w:rsidRPr="007E6B3F">
              <w:rPr>
                <w:rFonts w:cs="Mangal"/>
                <w:sz w:val="20"/>
                <w:szCs w:val="20"/>
              </w:rPr>
              <w:t>250°F (121°C) or more</w:t>
            </w:r>
          </w:p>
        </w:tc>
      </w:tr>
      <w:tr w:rsidR="00C176D1" w:rsidTr="001A3D9D">
        <w:trPr>
          <w:trHeight w:val="382"/>
        </w:trPr>
        <w:tc>
          <w:tcPr>
            <w:tcW w:w="1713" w:type="dxa"/>
            <w:vAlign w:val="center"/>
          </w:tcPr>
          <w:p w:rsidR="00C176D1" w:rsidRPr="007E6B3F" w:rsidRDefault="00C603CD" w:rsidP="00C603CD">
            <w:pPr>
              <w:pStyle w:val="ListParagraph"/>
              <w:spacing w:line="240" w:lineRule="auto"/>
              <w:ind w:left="0"/>
              <w:jc w:val="center"/>
              <w:rPr>
                <w:sz w:val="20"/>
                <w:szCs w:val="20"/>
              </w:rPr>
            </w:pPr>
            <w:r w:rsidRPr="007E6B3F">
              <w:rPr>
                <w:sz w:val="20"/>
                <w:szCs w:val="20"/>
              </w:rPr>
              <w:t>High Humidity</w:t>
            </w:r>
            <w:r w:rsidRPr="007E6B3F">
              <w:rPr>
                <w:sz w:val="20"/>
                <w:szCs w:val="20"/>
                <w:vertAlign w:val="superscript"/>
              </w:rPr>
              <w:t>1</w:t>
            </w:r>
          </w:p>
        </w:tc>
        <w:tc>
          <w:tcPr>
            <w:tcW w:w="2815" w:type="dxa"/>
          </w:tcPr>
          <w:p w:rsidR="00C176D1" w:rsidRPr="007E6B3F" w:rsidRDefault="001A3D9D" w:rsidP="001A3D9D">
            <w:pPr>
              <w:pStyle w:val="ListParagraph"/>
              <w:spacing w:line="240" w:lineRule="auto"/>
              <w:ind w:left="0"/>
              <w:jc w:val="center"/>
              <w:rPr>
                <w:sz w:val="20"/>
                <w:szCs w:val="20"/>
              </w:rPr>
            </w:pPr>
            <w:r w:rsidRPr="007E6B3F">
              <w:rPr>
                <w:sz w:val="20"/>
                <w:szCs w:val="20"/>
              </w:rPr>
              <w:t>250°F (121°C) or less</w:t>
            </w:r>
          </w:p>
        </w:tc>
        <w:tc>
          <w:tcPr>
            <w:tcW w:w="2759" w:type="dxa"/>
          </w:tcPr>
          <w:p w:rsidR="00C176D1" w:rsidRPr="007E6B3F" w:rsidRDefault="001A3D9D" w:rsidP="001A3D9D">
            <w:pPr>
              <w:pStyle w:val="ListParagraph"/>
              <w:spacing w:line="240" w:lineRule="auto"/>
              <w:ind w:left="0"/>
              <w:jc w:val="center"/>
              <w:rPr>
                <w:sz w:val="20"/>
                <w:szCs w:val="20"/>
              </w:rPr>
            </w:pPr>
            <w:r w:rsidRPr="007E6B3F">
              <w:rPr>
                <w:sz w:val="20"/>
                <w:szCs w:val="20"/>
              </w:rPr>
              <w:t>250° (121°C) or less</w:t>
            </w:r>
          </w:p>
        </w:tc>
      </w:tr>
      <w:tr w:rsidR="00C176D1" w:rsidTr="007E6B3F">
        <w:trPr>
          <w:trHeight w:val="829"/>
        </w:trPr>
        <w:tc>
          <w:tcPr>
            <w:tcW w:w="7287" w:type="dxa"/>
            <w:gridSpan w:val="3"/>
          </w:tcPr>
          <w:p w:rsidR="00C176D1" w:rsidRPr="007E6B3F" w:rsidRDefault="00C603CD" w:rsidP="007E6B3F">
            <w:pPr>
              <w:pStyle w:val="ListParagraph"/>
              <w:spacing w:line="240" w:lineRule="auto"/>
              <w:ind w:left="0"/>
              <w:rPr>
                <w:sz w:val="20"/>
                <w:szCs w:val="20"/>
              </w:rPr>
            </w:pPr>
            <w:r w:rsidRPr="007E6B3F">
              <w:rPr>
                <w:sz w:val="20"/>
                <w:szCs w:val="20"/>
                <w:vertAlign w:val="superscript"/>
              </w:rPr>
              <w:t>1</w:t>
            </w:r>
            <w:r w:rsidRPr="007E6B3F">
              <w:rPr>
                <w:sz w:val="20"/>
                <w:szCs w:val="20"/>
              </w:rPr>
              <w:t>Relative humidity greater than 90% for at least 1 hour as measured in the cooking chamber or exit of the oven; or in a moisture-impermeable bag that provides 100% humidity.</w:t>
            </w:r>
          </w:p>
        </w:tc>
      </w:tr>
    </w:tbl>
    <w:p w:rsidR="00795ACB" w:rsidRDefault="00795ACB" w:rsidP="00795ACB">
      <w:pPr>
        <w:pStyle w:val="ListParagraph"/>
        <w:spacing w:line="240" w:lineRule="auto"/>
        <w:ind w:left="2575"/>
        <w:jc w:val="center"/>
      </w:pPr>
      <w:proofErr w:type="gramStart"/>
      <w:r>
        <w:t>;and</w:t>
      </w:r>
      <w:proofErr w:type="gramEnd"/>
    </w:p>
    <w:p w:rsidR="00795ACB" w:rsidRDefault="00795ACB" w:rsidP="00795ACB">
      <w:pPr>
        <w:pStyle w:val="ListParagraph"/>
        <w:spacing w:line="240" w:lineRule="auto"/>
        <w:ind w:left="2575"/>
        <w:jc w:val="center"/>
      </w:pPr>
    </w:p>
    <w:p w:rsidR="00795ACB" w:rsidRDefault="00C23BD1" w:rsidP="00795ACB">
      <w:pPr>
        <w:pStyle w:val="ListParagraph"/>
        <w:numPr>
          <w:ilvl w:val="0"/>
          <w:numId w:val="10"/>
        </w:numPr>
        <w:spacing w:line="240" w:lineRule="auto"/>
      </w:pPr>
      <w:r>
        <w:t>As specified in the following chart, to heat all parts of the food to a temperature and for the holding time that corresponds to that temperature.</w:t>
      </w:r>
    </w:p>
    <w:p w:rsidR="00C23BD1" w:rsidRDefault="00C23BD1" w:rsidP="00C23BD1">
      <w:pPr>
        <w:pStyle w:val="ListParagraph"/>
        <w:spacing w:line="240" w:lineRule="auto"/>
        <w:ind w:left="2575"/>
      </w:pPr>
    </w:p>
    <w:tbl>
      <w:tblPr>
        <w:tblStyle w:val="TableGrid"/>
        <w:tblW w:w="0" w:type="auto"/>
        <w:tblInd w:w="2575" w:type="dxa"/>
        <w:tblLook w:val="04A0" w:firstRow="1" w:lastRow="0" w:firstColumn="1" w:lastColumn="0" w:noHBand="0" w:noVBand="1"/>
      </w:tblPr>
      <w:tblGrid>
        <w:gridCol w:w="1751"/>
        <w:gridCol w:w="1750"/>
        <w:gridCol w:w="1750"/>
        <w:gridCol w:w="1750"/>
      </w:tblGrid>
      <w:tr w:rsidR="00C23BD1" w:rsidTr="004958BA">
        <w:trPr>
          <w:trHeight w:val="638"/>
        </w:trPr>
        <w:tc>
          <w:tcPr>
            <w:tcW w:w="1751" w:type="dxa"/>
            <w:vAlign w:val="center"/>
          </w:tcPr>
          <w:p w:rsidR="004958BA" w:rsidRPr="007E6B3F" w:rsidRDefault="004958BA" w:rsidP="004958BA">
            <w:pPr>
              <w:pStyle w:val="ListParagraph"/>
              <w:ind w:left="0"/>
              <w:jc w:val="center"/>
              <w:rPr>
                <w:sz w:val="20"/>
                <w:szCs w:val="20"/>
              </w:rPr>
            </w:pPr>
            <w:r w:rsidRPr="007E6B3F">
              <w:rPr>
                <w:sz w:val="20"/>
                <w:szCs w:val="20"/>
              </w:rPr>
              <w:t>Temperature</w:t>
            </w:r>
          </w:p>
          <w:p w:rsidR="004958BA" w:rsidRPr="007E6B3F" w:rsidRDefault="004958BA" w:rsidP="004958BA">
            <w:pPr>
              <w:pStyle w:val="ListParagraph"/>
              <w:ind w:left="0"/>
              <w:jc w:val="center"/>
              <w:rPr>
                <w:sz w:val="20"/>
                <w:szCs w:val="20"/>
              </w:rPr>
            </w:pPr>
            <w:r w:rsidRPr="007E6B3F">
              <w:rPr>
                <w:sz w:val="20"/>
                <w:szCs w:val="20"/>
              </w:rPr>
              <w:t xml:space="preserve"> °F (°C)</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Time</w:t>
            </w:r>
            <w:r w:rsidRPr="007E6B3F">
              <w:rPr>
                <w:sz w:val="20"/>
                <w:szCs w:val="20"/>
                <w:vertAlign w:val="superscript"/>
              </w:rPr>
              <w:t>1</w:t>
            </w:r>
            <w:r w:rsidRPr="007E6B3F">
              <w:rPr>
                <w:sz w:val="20"/>
                <w:szCs w:val="20"/>
              </w:rPr>
              <w:t xml:space="preserve"> in Minutes</w:t>
            </w:r>
          </w:p>
        </w:tc>
        <w:tc>
          <w:tcPr>
            <w:tcW w:w="1750" w:type="dxa"/>
            <w:vAlign w:val="center"/>
          </w:tcPr>
          <w:p w:rsidR="004958BA" w:rsidRPr="007E6B3F" w:rsidRDefault="004958BA" w:rsidP="004958BA">
            <w:pPr>
              <w:pStyle w:val="ListParagraph"/>
              <w:ind w:left="0"/>
              <w:jc w:val="center"/>
              <w:rPr>
                <w:sz w:val="20"/>
                <w:szCs w:val="20"/>
              </w:rPr>
            </w:pPr>
            <w:r w:rsidRPr="007E6B3F">
              <w:rPr>
                <w:sz w:val="20"/>
                <w:szCs w:val="20"/>
              </w:rPr>
              <w:t>Temperature</w:t>
            </w:r>
          </w:p>
          <w:p w:rsidR="00C23BD1" w:rsidRPr="007E6B3F" w:rsidRDefault="004958BA" w:rsidP="004958BA">
            <w:pPr>
              <w:pStyle w:val="ListParagraph"/>
              <w:ind w:left="0"/>
              <w:jc w:val="center"/>
              <w:rPr>
                <w:sz w:val="20"/>
                <w:szCs w:val="20"/>
              </w:rPr>
            </w:pPr>
            <w:r w:rsidRPr="007E6B3F">
              <w:rPr>
                <w:sz w:val="20"/>
                <w:szCs w:val="20"/>
              </w:rPr>
              <w:t xml:space="preserve"> °F (°C)</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Time</w:t>
            </w:r>
            <w:r w:rsidRPr="007E6B3F">
              <w:rPr>
                <w:sz w:val="20"/>
                <w:szCs w:val="20"/>
                <w:vertAlign w:val="superscript"/>
              </w:rPr>
              <w:t>1</w:t>
            </w:r>
            <w:r w:rsidRPr="007E6B3F">
              <w:rPr>
                <w:sz w:val="20"/>
                <w:szCs w:val="20"/>
              </w:rPr>
              <w:t xml:space="preserve"> in Seconds</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130 (54.4)</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112</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147 (63.9)</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134</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131 (55.0)</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89</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149 (65.0)</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85</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133 (56.1)</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56</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151 (66.1)</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54</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135 (57.2)</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36</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153 (67.2)</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34</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136 (57.8)</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28</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155 (68.3)</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22</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138 (58.9)</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18</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157 (69.4)</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14</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140 (60.0)</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12</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158 (70.0)</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0</w:t>
            </w: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142 (61.1)</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8</w:t>
            </w:r>
          </w:p>
        </w:tc>
        <w:tc>
          <w:tcPr>
            <w:tcW w:w="1750" w:type="dxa"/>
            <w:vAlign w:val="center"/>
          </w:tcPr>
          <w:p w:rsidR="00C23BD1" w:rsidRPr="007E6B3F" w:rsidRDefault="00C23BD1" w:rsidP="004958BA">
            <w:pPr>
              <w:pStyle w:val="ListParagraph"/>
              <w:ind w:left="0"/>
              <w:jc w:val="center"/>
              <w:rPr>
                <w:sz w:val="20"/>
                <w:szCs w:val="20"/>
              </w:rPr>
            </w:pPr>
          </w:p>
        </w:tc>
        <w:tc>
          <w:tcPr>
            <w:tcW w:w="1750" w:type="dxa"/>
            <w:vAlign w:val="center"/>
          </w:tcPr>
          <w:p w:rsidR="00C23BD1" w:rsidRPr="007E6B3F" w:rsidRDefault="00C23BD1" w:rsidP="004958BA">
            <w:pPr>
              <w:pStyle w:val="ListParagraph"/>
              <w:ind w:left="0"/>
              <w:jc w:val="center"/>
              <w:rPr>
                <w:sz w:val="20"/>
                <w:szCs w:val="20"/>
              </w:rPr>
            </w:pP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144 (62.2)</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5</w:t>
            </w:r>
          </w:p>
        </w:tc>
        <w:tc>
          <w:tcPr>
            <w:tcW w:w="1750" w:type="dxa"/>
            <w:vAlign w:val="center"/>
          </w:tcPr>
          <w:p w:rsidR="00C23BD1" w:rsidRPr="007E6B3F" w:rsidRDefault="00C23BD1" w:rsidP="004958BA">
            <w:pPr>
              <w:pStyle w:val="ListParagraph"/>
              <w:ind w:left="0"/>
              <w:jc w:val="center"/>
              <w:rPr>
                <w:sz w:val="20"/>
                <w:szCs w:val="20"/>
              </w:rPr>
            </w:pPr>
          </w:p>
        </w:tc>
        <w:tc>
          <w:tcPr>
            <w:tcW w:w="1750" w:type="dxa"/>
            <w:vAlign w:val="center"/>
          </w:tcPr>
          <w:p w:rsidR="00C23BD1" w:rsidRPr="007E6B3F" w:rsidRDefault="00C23BD1" w:rsidP="004958BA">
            <w:pPr>
              <w:pStyle w:val="ListParagraph"/>
              <w:ind w:left="0"/>
              <w:jc w:val="center"/>
              <w:rPr>
                <w:sz w:val="20"/>
                <w:szCs w:val="20"/>
              </w:rPr>
            </w:pPr>
          </w:p>
        </w:tc>
      </w:tr>
      <w:tr w:rsidR="00C23BD1" w:rsidTr="004958BA">
        <w:tc>
          <w:tcPr>
            <w:tcW w:w="1751" w:type="dxa"/>
            <w:vAlign w:val="center"/>
          </w:tcPr>
          <w:p w:rsidR="00C23BD1" w:rsidRPr="007E6B3F" w:rsidRDefault="004958BA" w:rsidP="004958BA">
            <w:pPr>
              <w:pStyle w:val="ListParagraph"/>
              <w:ind w:left="0"/>
              <w:jc w:val="center"/>
              <w:rPr>
                <w:sz w:val="20"/>
                <w:szCs w:val="20"/>
              </w:rPr>
            </w:pPr>
            <w:r w:rsidRPr="007E6B3F">
              <w:rPr>
                <w:sz w:val="20"/>
                <w:szCs w:val="20"/>
              </w:rPr>
              <w:t>145 (62.8)</w:t>
            </w:r>
          </w:p>
        </w:tc>
        <w:tc>
          <w:tcPr>
            <w:tcW w:w="1750" w:type="dxa"/>
            <w:vAlign w:val="center"/>
          </w:tcPr>
          <w:p w:rsidR="00C23BD1" w:rsidRPr="007E6B3F" w:rsidRDefault="004958BA" w:rsidP="004958BA">
            <w:pPr>
              <w:pStyle w:val="ListParagraph"/>
              <w:ind w:left="0"/>
              <w:jc w:val="center"/>
              <w:rPr>
                <w:sz w:val="20"/>
                <w:szCs w:val="20"/>
              </w:rPr>
            </w:pPr>
            <w:r w:rsidRPr="007E6B3F">
              <w:rPr>
                <w:sz w:val="20"/>
                <w:szCs w:val="20"/>
              </w:rPr>
              <w:t>4</w:t>
            </w:r>
          </w:p>
        </w:tc>
        <w:tc>
          <w:tcPr>
            <w:tcW w:w="1750" w:type="dxa"/>
            <w:vAlign w:val="center"/>
          </w:tcPr>
          <w:p w:rsidR="00C23BD1" w:rsidRPr="007E6B3F" w:rsidRDefault="00C23BD1" w:rsidP="004958BA">
            <w:pPr>
              <w:pStyle w:val="ListParagraph"/>
              <w:ind w:left="0"/>
              <w:jc w:val="center"/>
              <w:rPr>
                <w:sz w:val="20"/>
                <w:szCs w:val="20"/>
              </w:rPr>
            </w:pPr>
          </w:p>
        </w:tc>
        <w:tc>
          <w:tcPr>
            <w:tcW w:w="1750" w:type="dxa"/>
            <w:vAlign w:val="center"/>
          </w:tcPr>
          <w:p w:rsidR="00C23BD1" w:rsidRPr="007E6B3F" w:rsidRDefault="00C23BD1" w:rsidP="004958BA">
            <w:pPr>
              <w:pStyle w:val="ListParagraph"/>
              <w:ind w:left="0"/>
              <w:jc w:val="center"/>
              <w:rPr>
                <w:sz w:val="20"/>
                <w:szCs w:val="20"/>
              </w:rPr>
            </w:pPr>
          </w:p>
        </w:tc>
      </w:tr>
      <w:tr w:rsidR="00C23BD1" w:rsidTr="007E6B3F">
        <w:tblPrEx>
          <w:tblLook w:val="0000" w:firstRow="0" w:lastRow="0" w:firstColumn="0" w:lastColumn="0" w:noHBand="0" w:noVBand="0"/>
        </w:tblPrEx>
        <w:trPr>
          <w:trHeight w:val="401"/>
        </w:trPr>
        <w:tc>
          <w:tcPr>
            <w:tcW w:w="7001" w:type="dxa"/>
            <w:gridSpan w:val="4"/>
          </w:tcPr>
          <w:p w:rsidR="00C23BD1" w:rsidRPr="007E6B3F" w:rsidRDefault="004958BA" w:rsidP="007E6B3F">
            <w:pPr>
              <w:pStyle w:val="ListParagraph"/>
              <w:ind w:left="0"/>
              <w:rPr>
                <w:sz w:val="20"/>
                <w:szCs w:val="20"/>
              </w:rPr>
            </w:pPr>
            <w:r w:rsidRPr="007E6B3F">
              <w:rPr>
                <w:sz w:val="20"/>
                <w:szCs w:val="20"/>
                <w:vertAlign w:val="superscript"/>
              </w:rPr>
              <w:t>1</w:t>
            </w:r>
            <w:r w:rsidRPr="007E6B3F">
              <w:rPr>
                <w:sz w:val="20"/>
                <w:szCs w:val="20"/>
              </w:rPr>
              <w:t xml:space="preserve"> </w:t>
            </w:r>
            <w:r w:rsidRPr="007E6B3F">
              <w:rPr>
                <w:i/>
                <w:sz w:val="20"/>
                <w:szCs w:val="20"/>
              </w:rPr>
              <w:t>Holding time may include post oven heat rise.</w:t>
            </w:r>
          </w:p>
        </w:tc>
      </w:tr>
    </w:tbl>
    <w:p w:rsidR="00C23BD1" w:rsidRDefault="00C23BD1" w:rsidP="00C23BD1">
      <w:pPr>
        <w:pStyle w:val="ListParagraph"/>
        <w:spacing w:line="240" w:lineRule="auto"/>
        <w:ind w:left="2575"/>
      </w:pPr>
    </w:p>
    <w:p w:rsidR="001E55EC" w:rsidRDefault="001E55EC" w:rsidP="001E55EC">
      <w:pPr>
        <w:pStyle w:val="ListParagraph"/>
        <w:numPr>
          <w:ilvl w:val="0"/>
          <w:numId w:val="6"/>
        </w:numPr>
        <w:spacing w:line="240" w:lineRule="auto"/>
      </w:pPr>
      <w:r>
        <w:t xml:space="preserve">A raw or undercooked whole-muscle, intact beef steak may be served or offered for sale in a ready-to-eat form if: </w:t>
      </w:r>
    </w:p>
    <w:p w:rsidR="00F26919" w:rsidRDefault="00F26919" w:rsidP="00F26919">
      <w:pPr>
        <w:pStyle w:val="ListParagraph"/>
        <w:spacing w:line="240" w:lineRule="auto"/>
        <w:ind w:left="2215"/>
      </w:pPr>
    </w:p>
    <w:p w:rsidR="001E55EC" w:rsidRDefault="001E55EC" w:rsidP="001E55EC">
      <w:pPr>
        <w:pStyle w:val="ListParagraph"/>
        <w:numPr>
          <w:ilvl w:val="0"/>
          <w:numId w:val="14"/>
        </w:numPr>
        <w:spacing w:line="240" w:lineRule="auto"/>
      </w:pPr>
      <w:r>
        <w:t>The food establishment serves a population that is not a highly susceptible population,</w:t>
      </w:r>
    </w:p>
    <w:p w:rsidR="00F26919" w:rsidRDefault="00F26919" w:rsidP="00F26919">
      <w:pPr>
        <w:pStyle w:val="ListParagraph"/>
        <w:spacing w:line="240" w:lineRule="auto"/>
        <w:ind w:left="2575"/>
      </w:pPr>
    </w:p>
    <w:p w:rsidR="00F26919" w:rsidRDefault="001E55EC" w:rsidP="00F26919">
      <w:pPr>
        <w:pStyle w:val="ListParagraph"/>
        <w:numPr>
          <w:ilvl w:val="0"/>
          <w:numId w:val="14"/>
        </w:numPr>
        <w:spacing w:line="240" w:lineRule="auto"/>
      </w:pPr>
      <w:r>
        <w:t>The steak is labeled to indicate that it meets the definition of “whole-muscle, intact beef”; and</w:t>
      </w:r>
    </w:p>
    <w:p w:rsidR="00F26919" w:rsidRDefault="00F26919" w:rsidP="00F26919">
      <w:pPr>
        <w:pStyle w:val="ListParagraph"/>
      </w:pPr>
    </w:p>
    <w:p w:rsidR="001E55EC" w:rsidRDefault="001E55EC" w:rsidP="00F26919">
      <w:pPr>
        <w:pStyle w:val="ListParagraph"/>
        <w:numPr>
          <w:ilvl w:val="0"/>
          <w:numId w:val="14"/>
        </w:numPr>
        <w:spacing w:line="240" w:lineRule="auto"/>
      </w:pPr>
      <w:r>
        <w:t>The steak is cooked on both</w:t>
      </w:r>
      <w:r w:rsidR="00F26919">
        <w:t xml:space="preserve"> the top and bottom to a surface temperature of 145°F (63°C) or above and a cooked color change is achieved on all external surfaces.</w:t>
      </w:r>
    </w:p>
    <w:sectPr w:rsidR="001E55EC" w:rsidSect="0069059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63" w:rsidRDefault="00A95963" w:rsidP="00690592">
      <w:pPr>
        <w:spacing w:after="0" w:line="240" w:lineRule="auto"/>
      </w:pPr>
      <w:r>
        <w:separator/>
      </w:r>
    </w:p>
  </w:endnote>
  <w:endnote w:type="continuationSeparator" w:id="0">
    <w:p w:rsidR="00A95963" w:rsidRDefault="00A95963" w:rsidP="0069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63" w:rsidRDefault="00A95963" w:rsidP="00690592">
      <w:pPr>
        <w:spacing w:after="0" w:line="240" w:lineRule="auto"/>
      </w:pPr>
      <w:r>
        <w:separator/>
      </w:r>
    </w:p>
  </w:footnote>
  <w:footnote w:type="continuationSeparator" w:id="0">
    <w:p w:rsidR="00A95963" w:rsidRDefault="00A95963" w:rsidP="0069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92" w:rsidRPr="00690592" w:rsidRDefault="00690592">
    <w:pPr>
      <w:pStyle w:val="Header"/>
      <w:rPr>
        <w:b/>
        <w:u w:val="single"/>
      </w:rPr>
    </w:pPr>
    <w:r w:rsidRPr="00690592">
      <w:rPr>
        <w:b/>
        <w:u w:val="single"/>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67F"/>
    <w:multiLevelType w:val="hybridMultilevel"/>
    <w:tmpl w:val="58B6A99A"/>
    <w:lvl w:ilvl="0" w:tplc="D6EEF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06729"/>
    <w:multiLevelType w:val="hybridMultilevel"/>
    <w:tmpl w:val="9B323BC2"/>
    <w:lvl w:ilvl="0" w:tplc="D6EEF9CA">
      <w:start w:val="1"/>
      <w:numFmt w:val="upp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
    <w:nsid w:val="07656C09"/>
    <w:multiLevelType w:val="hybridMultilevel"/>
    <w:tmpl w:val="996C4334"/>
    <w:lvl w:ilvl="0" w:tplc="563CA550">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
    <w:nsid w:val="1528536B"/>
    <w:multiLevelType w:val="hybridMultilevel"/>
    <w:tmpl w:val="C9685794"/>
    <w:lvl w:ilvl="0" w:tplc="D6EEF9CA">
      <w:start w:val="1"/>
      <w:numFmt w:val="upperLetter"/>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D9A66F4"/>
    <w:multiLevelType w:val="hybridMultilevel"/>
    <w:tmpl w:val="D6B2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261154"/>
    <w:multiLevelType w:val="multilevel"/>
    <w:tmpl w:val="E108807C"/>
    <w:lvl w:ilvl="0">
      <w:start w:val="50"/>
      <w:numFmt w:val="decimalZero"/>
      <w:lvlText w:val="%1"/>
      <w:lvlJc w:val="left"/>
      <w:pPr>
        <w:ind w:left="690" w:hanging="690"/>
      </w:pPr>
      <w:rPr>
        <w:rFonts w:hint="default"/>
      </w:rPr>
    </w:lvl>
    <w:lvl w:ilvl="1">
      <w:start w:val="245"/>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D5A4D10"/>
    <w:multiLevelType w:val="hybridMultilevel"/>
    <w:tmpl w:val="1EDAE0DA"/>
    <w:lvl w:ilvl="0" w:tplc="748200DA">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7">
    <w:nsid w:val="546B60B0"/>
    <w:multiLevelType w:val="hybridMultilevel"/>
    <w:tmpl w:val="1FF68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3737F1"/>
    <w:multiLevelType w:val="hybridMultilevel"/>
    <w:tmpl w:val="3B1E5994"/>
    <w:lvl w:ilvl="0" w:tplc="C1D0E6BC">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9">
    <w:nsid w:val="70F1255C"/>
    <w:multiLevelType w:val="hybridMultilevel"/>
    <w:tmpl w:val="839A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F7AD0"/>
    <w:multiLevelType w:val="hybridMultilevel"/>
    <w:tmpl w:val="E140EFB8"/>
    <w:lvl w:ilvl="0" w:tplc="060089B8">
      <w:start w:val="1"/>
      <w:numFmt w:val="lowerLetter"/>
      <w:lvlText w:val="%1)"/>
      <w:lvlJc w:val="left"/>
      <w:pPr>
        <w:ind w:left="2935" w:hanging="360"/>
      </w:pPr>
      <w:rPr>
        <w:rFonts w:hint="default"/>
      </w:rPr>
    </w:lvl>
    <w:lvl w:ilvl="1" w:tplc="04090019" w:tentative="1">
      <w:start w:val="1"/>
      <w:numFmt w:val="lowerLetter"/>
      <w:lvlText w:val="%2."/>
      <w:lvlJc w:val="left"/>
      <w:pPr>
        <w:ind w:left="3655" w:hanging="360"/>
      </w:pPr>
    </w:lvl>
    <w:lvl w:ilvl="2" w:tplc="0409001B" w:tentative="1">
      <w:start w:val="1"/>
      <w:numFmt w:val="lowerRoman"/>
      <w:lvlText w:val="%3."/>
      <w:lvlJc w:val="right"/>
      <w:pPr>
        <w:ind w:left="4375" w:hanging="180"/>
      </w:pPr>
    </w:lvl>
    <w:lvl w:ilvl="3" w:tplc="0409000F" w:tentative="1">
      <w:start w:val="1"/>
      <w:numFmt w:val="decimal"/>
      <w:lvlText w:val="%4."/>
      <w:lvlJc w:val="left"/>
      <w:pPr>
        <w:ind w:left="5095" w:hanging="360"/>
      </w:pPr>
    </w:lvl>
    <w:lvl w:ilvl="4" w:tplc="04090019" w:tentative="1">
      <w:start w:val="1"/>
      <w:numFmt w:val="lowerLetter"/>
      <w:lvlText w:val="%5."/>
      <w:lvlJc w:val="left"/>
      <w:pPr>
        <w:ind w:left="5815" w:hanging="360"/>
      </w:pPr>
    </w:lvl>
    <w:lvl w:ilvl="5" w:tplc="0409001B" w:tentative="1">
      <w:start w:val="1"/>
      <w:numFmt w:val="lowerRoman"/>
      <w:lvlText w:val="%6."/>
      <w:lvlJc w:val="right"/>
      <w:pPr>
        <w:ind w:left="6535" w:hanging="180"/>
      </w:pPr>
    </w:lvl>
    <w:lvl w:ilvl="6" w:tplc="0409000F" w:tentative="1">
      <w:start w:val="1"/>
      <w:numFmt w:val="decimal"/>
      <w:lvlText w:val="%7."/>
      <w:lvlJc w:val="left"/>
      <w:pPr>
        <w:ind w:left="7255" w:hanging="360"/>
      </w:pPr>
    </w:lvl>
    <w:lvl w:ilvl="7" w:tplc="04090019" w:tentative="1">
      <w:start w:val="1"/>
      <w:numFmt w:val="lowerLetter"/>
      <w:lvlText w:val="%8."/>
      <w:lvlJc w:val="left"/>
      <w:pPr>
        <w:ind w:left="7975" w:hanging="360"/>
      </w:pPr>
    </w:lvl>
    <w:lvl w:ilvl="8" w:tplc="0409001B" w:tentative="1">
      <w:start w:val="1"/>
      <w:numFmt w:val="lowerRoman"/>
      <w:lvlText w:val="%9."/>
      <w:lvlJc w:val="right"/>
      <w:pPr>
        <w:ind w:left="8695" w:hanging="180"/>
      </w:pPr>
    </w:lvl>
  </w:abstractNum>
  <w:abstractNum w:abstractNumId="11">
    <w:nsid w:val="75DD0098"/>
    <w:multiLevelType w:val="hybridMultilevel"/>
    <w:tmpl w:val="D7CC4EB2"/>
    <w:lvl w:ilvl="0" w:tplc="B656867C">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2">
    <w:nsid w:val="7A5E3DBC"/>
    <w:multiLevelType w:val="hybridMultilevel"/>
    <w:tmpl w:val="50426A6E"/>
    <w:lvl w:ilvl="0" w:tplc="9636275C">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nsid w:val="7D405627"/>
    <w:multiLevelType w:val="hybridMultilevel"/>
    <w:tmpl w:val="F5045438"/>
    <w:lvl w:ilvl="0" w:tplc="EB56DE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0"/>
  </w:num>
  <w:num w:numId="3">
    <w:abstractNumId w:val="3"/>
  </w:num>
  <w:num w:numId="4">
    <w:abstractNumId w:val="13"/>
  </w:num>
  <w:num w:numId="5">
    <w:abstractNumId w:val="7"/>
  </w:num>
  <w:num w:numId="6">
    <w:abstractNumId w:val="1"/>
  </w:num>
  <w:num w:numId="7">
    <w:abstractNumId w:val="5"/>
  </w:num>
  <w:num w:numId="8">
    <w:abstractNumId w:val="2"/>
  </w:num>
  <w:num w:numId="9">
    <w:abstractNumId w:val="10"/>
  </w:num>
  <w:num w:numId="10">
    <w:abstractNumId w:val="8"/>
  </w:num>
  <w:num w:numId="11">
    <w:abstractNumId w:val="12"/>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F4"/>
    <w:rsid w:val="000153C8"/>
    <w:rsid w:val="001916E4"/>
    <w:rsid w:val="001A3D9D"/>
    <w:rsid w:val="001E55EC"/>
    <w:rsid w:val="00311347"/>
    <w:rsid w:val="003761B5"/>
    <w:rsid w:val="004958BA"/>
    <w:rsid w:val="00690592"/>
    <w:rsid w:val="00777E8F"/>
    <w:rsid w:val="00795ACB"/>
    <w:rsid w:val="007E6B3F"/>
    <w:rsid w:val="008C6B86"/>
    <w:rsid w:val="00A95963"/>
    <w:rsid w:val="00B32B53"/>
    <w:rsid w:val="00C176D1"/>
    <w:rsid w:val="00C23BD1"/>
    <w:rsid w:val="00C603CD"/>
    <w:rsid w:val="00E702C7"/>
    <w:rsid w:val="00F26919"/>
    <w:rsid w:val="00FC5E06"/>
    <w:rsid w:val="00FE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86"/>
    <w:pPr>
      <w:ind w:left="720"/>
      <w:contextualSpacing/>
    </w:pPr>
  </w:style>
  <w:style w:type="character" w:styleId="Hyperlink">
    <w:name w:val="Hyperlink"/>
    <w:basedOn w:val="DefaultParagraphFont"/>
    <w:uiPriority w:val="99"/>
    <w:unhideWhenUsed/>
    <w:rsid w:val="001916E4"/>
    <w:rPr>
      <w:color w:val="0000FF" w:themeColor="hyperlink"/>
      <w:u w:val="single"/>
    </w:rPr>
  </w:style>
  <w:style w:type="character" w:styleId="FollowedHyperlink">
    <w:name w:val="FollowedHyperlink"/>
    <w:basedOn w:val="DefaultParagraphFont"/>
    <w:uiPriority w:val="99"/>
    <w:semiHidden/>
    <w:unhideWhenUsed/>
    <w:rsid w:val="00E702C7"/>
    <w:rPr>
      <w:color w:val="800080" w:themeColor="followedHyperlink"/>
      <w:u w:val="single"/>
    </w:rPr>
  </w:style>
  <w:style w:type="table" w:styleId="TableGrid">
    <w:name w:val="Table Grid"/>
    <w:basedOn w:val="TableNormal"/>
    <w:uiPriority w:val="59"/>
    <w:rsid w:val="00E7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92"/>
  </w:style>
  <w:style w:type="paragraph" w:styleId="Footer">
    <w:name w:val="footer"/>
    <w:basedOn w:val="Normal"/>
    <w:link w:val="FooterChar"/>
    <w:uiPriority w:val="99"/>
    <w:unhideWhenUsed/>
    <w:rsid w:val="0069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86"/>
    <w:pPr>
      <w:ind w:left="720"/>
      <w:contextualSpacing/>
    </w:pPr>
  </w:style>
  <w:style w:type="character" w:styleId="Hyperlink">
    <w:name w:val="Hyperlink"/>
    <w:basedOn w:val="DefaultParagraphFont"/>
    <w:uiPriority w:val="99"/>
    <w:unhideWhenUsed/>
    <w:rsid w:val="001916E4"/>
    <w:rPr>
      <w:color w:val="0000FF" w:themeColor="hyperlink"/>
      <w:u w:val="single"/>
    </w:rPr>
  </w:style>
  <w:style w:type="character" w:styleId="FollowedHyperlink">
    <w:name w:val="FollowedHyperlink"/>
    <w:basedOn w:val="DefaultParagraphFont"/>
    <w:uiPriority w:val="99"/>
    <w:semiHidden/>
    <w:unhideWhenUsed/>
    <w:rsid w:val="00E702C7"/>
    <w:rPr>
      <w:color w:val="800080" w:themeColor="followedHyperlink"/>
      <w:u w:val="single"/>
    </w:rPr>
  </w:style>
  <w:style w:type="table" w:styleId="TableGrid">
    <w:name w:val="Table Grid"/>
    <w:basedOn w:val="TableNormal"/>
    <w:uiPriority w:val="59"/>
    <w:rsid w:val="00E7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92"/>
  </w:style>
  <w:style w:type="paragraph" w:styleId="Footer">
    <w:name w:val="footer"/>
    <w:basedOn w:val="Normal"/>
    <w:link w:val="FooterChar"/>
    <w:uiPriority w:val="99"/>
    <w:unhideWhenUsed/>
    <w:rsid w:val="0069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Touhey</dc:creator>
  <cp:lastModifiedBy>Michael Touhey</cp:lastModifiedBy>
  <cp:revision>6</cp:revision>
  <dcterms:created xsi:type="dcterms:W3CDTF">2016-10-06T18:43:00Z</dcterms:created>
  <dcterms:modified xsi:type="dcterms:W3CDTF">2016-10-07T15:45:00Z</dcterms:modified>
</cp:coreProperties>
</file>